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A0" w:rsidRPr="000246A0" w:rsidRDefault="000246A0" w:rsidP="000246A0">
      <w:pPr>
        <w:jc w:val="center"/>
        <w:rPr>
          <w:rFonts w:asciiTheme="minorHAnsi" w:hAnsiTheme="minorHAnsi" w:cstheme="minorHAnsi"/>
          <w:b/>
          <w:sz w:val="28"/>
        </w:rPr>
      </w:pPr>
      <w:r w:rsidRPr="000246A0">
        <w:rPr>
          <w:rFonts w:asciiTheme="minorHAnsi" w:hAnsiTheme="minorHAnsi" w:cstheme="minorHAnsi"/>
          <w:b/>
          <w:sz w:val="28"/>
        </w:rPr>
        <w:t>KINR Summary Workshop (</w:t>
      </w:r>
      <w:hyperlink r:id="rId5" w:history="1">
        <w:r w:rsidRPr="000246A0">
          <w:rPr>
            <w:rStyle w:val="a5"/>
            <w:rFonts w:asciiTheme="minorHAnsi" w:hAnsiTheme="minorHAnsi" w:cstheme="minorHAnsi"/>
            <w:b/>
            <w:sz w:val="28"/>
          </w:rPr>
          <w:t>Video Conference</w:t>
        </w:r>
      </w:hyperlink>
      <w:r w:rsidRPr="000246A0">
        <w:rPr>
          <w:rFonts w:asciiTheme="minorHAnsi" w:hAnsiTheme="minorHAnsi" w:cstheme="minorHAnsi"/>
          <w:b/>
          <w:sz w:val="28"/>
        </w:rPr>
        <w:t>).</w:t>
      </w:r>
    </w:p>
    <w:p w:rsidR="000246A0" w:rsidRPr="000246A0" w:rsidRDefault="000246A0" w:rsidP="000246A0">
      <w:pPr>
        <w:jc w:val="center"/>
        <w:rPr>
          <w:rFonts w:asciiTheme="minorHAnsi" w:hAnsiTheme="minorHAnsi" w:cstheme="minorHAnsi"/>
          <w:b/>
          <w:sz w:val="28"/>
        </w:rPr>
      </w:pPr>
      <w:r w:rsidRPr="000246A0">
        <w:rPr>
          <w:rFonts w:asciiTheme="minorHAnsi" w:hAnsiTheme="minorHAnsi" w:cstheme="minorHAnsi"/>
          <w:b/>
          <w:sz w:val="28"/>
        </w:rPr>
        <w:t>Kyiv. 18 -19 Dec.2024</w:t>
      </w:r>
    </w:p>
    <w:p w:rsidR="000246A0" w:rsidRPr="000246A0" w:rsidRDefault="000246A0" w:rsidP="000246A0">
      <w:pPr>
        <w:jc w:val="center"/>
        <w:rPr>
          <w:rFonts w:asciiTheme="minorHAnsi" w:hAnsiTheme="minorHAnsi" w:cstheme="minorHAnsi"/>
          <w:b/>
          <w:sz w:val="28"/>
        </w:rPr>
      </w:pPr>
      <w:r w:rsidRPr="000246A0">
        <w:rPr>
          <w:rFonts w:asciiTheme="minorHAnsi" w:hAnsiTheme="minorHAnsi" w:cstheme="minorHAnsi"/>
          <w:b/>
          <w:sz w:val="28"/>
        </w:rPr>
        <w:t xml:space="preserve">“High Energy Physics. </w:t>
      </w:r>
    </w:p>
    <w:p w:rsidR="000246A0" w:rsidRPr="000246A0" w:rsidRDefault="000246A0" w:rsidP="000246A0">
      <w:pPr>
        <w:jc w:val="center"/>
        <w:rPr>
          <w:rFonts w:asciiTheme="minorHAnsi" w:hAnsiTheme="minorHAnsi" w:cstheme="minorHAnsi"/>
          <w:b/>
          <w:sz w:val="28"/>
        </w:rPr>
      </w:pPr>
      <w:r w:rsidRPr="000246A0">
        <w:rPr>
          <w:rFonts w:asciiTheme="minorHAnsi" w:hAnsiTheme="minorHAnsi" w:cstheme="minorHAnsi"/>
          <w:b/>
          <w:sz w:val="28"/>
        </w:rPr>
        <w:t>Theoretical and Experimental CHALLEGES”</w:t>
      </w:r>
    </w:p>
    <w:p w:rsidR="000246A0" w:rsidRDefault="000246A0" w:rsidP="000246A0">
      <w:pPr>
        <w:jc w:val="center"/>
        <w:rPr>
          <w:rFonts w:asciiTheme="minorHAnsi" w:hAnsiTheme="minorHAnsi" w:cstheme="minorHAnsi"/>
          <w:b/>
          <w:sz w:val="28"/>
        </w:rPr>
      </w:pPr>
      <w:r w:rsidRPr="000246A0">
        <w:rPr>
          <w:rFonts w:asciiTheme="minorHAnsi" w:hAnsiTheme="minorHAnsi" w:cstheme="minorHAnsi"/>
          <w:b/>
          <w:sz w:val="28"/>
        </w:rPr>
        <w:t>“HEP-TEC-2024”</w:t>
      </w:r>
    </w:p>
    <w:p w:rsidR="000246A0" w:rsidRPr="000246A0" w:rsidRDefault="000246A0" w:rsidP="000246A0">
      <w:pPr>
        <w:jc w:val="center"/>
        <w:rPr>
          <w:rFonts w:asciiTheme="minorHAnsi" w:hAnsiTheme="minorHAnsi" w:cstheme="minorHAnsi"/>
          <w:b/>
          <w:sz w:val="28"/>
        </w:rPr>
      </w:pPr>
      <w:bookmarkStart w:id="0" w:name="_GoBack"/>
      <w:bookmarkEnd w:id="0"/>
    </w:p>
    <w:p w:rsidR="00BA0A13" w:rsidRPr="000246A0" w:rsidRDefault="00BA0A13" w:rsidP="00BA0A13">
      <w:pPr>
        <w:jc w:val="both"/>
        <w:rPr>
          <w:rFonts w:asciiTheme="minorHAnsi" w:hAnsiTheme="minorHAnsi" w:cstheme="minorHAnsi"/>
          <w:b/>
          <w:sz w:val="32"/>
        </w:rPr>
      </w:pPr>
      <w:r w:rsidRPr="000246A0">
        <w:rPr>
          <w:rFonts w:asciiTheme="minorHAnsi" w:hAnsiTheme="minorHAnsi" w:cstheme="minorHAnsi"/>
          <w:b/>
          <w:sz w:val="32"/>
        </w:rPr>
        <w:t>Abstract template:</w:t>
      </w:r>
    </w:p>
    <w:p w:rsidR="00BA0A13" w:rsidRDefault="00BA0A13" w:rsidP="00E21E91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p w:rsidR="00BA0A13" w:rsidRDefault="00BA0A13" w:rsidP="00E21E91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p w:rsidR="00E21E91" w:rsidRPr="00C141E2" w:rsidRDefault="00E21E91" w:rsidP="00E21E91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C141E2">
        <w:rPr>
          <w:rFonts w:ascii="Times New Roman" w:hAnsi="Times New Roman"/>
          <w:b/>
        </w:rPr>
        <w:t>PAIRING CORRELATIONS IN STATISTICAL LEVEL DENSITIES</w:t>
      </w:r>
    </w:p>
    <w:p w:rsidR="00E21E91" w:rsidRPr="00C141E2" w:rsidRDefault="00E21E91" w:rsidP="00E21E91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C141E2">
        <w:rPr>
          <w:rFonts w:ascii="Times New Roman" w:hAnsi="Times New Roman"/>
          <w:b/>
        </w:rPr>
        <w:t>WITHIN THE MICRO-MACROSCOPIC APPROACH</w:t>
      </w:r>
    </w:p>
    <w:p w:rsidR="00E21E91" w:rsidRPr="00C141E2" w:rsidRDefault="00E21E91" w:rsidP="00E21E91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E21E91" w:rsidRPr="00C141E2" w:rsidRDefault="00E21E91" w:rsidP="00E21E91">
      <w:pPr>
        <w:pStyle w:val="a6"/>
        <w:widowControl w:val="0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C141E2">
        <w:rPr>
          <w:rFonts w:ascii="Times New Roman" w:hAnsi="Times New Roman"/>
          <w:b/>
          <w:u w:val="single"/>
        </w:rPr>
        <w:t>A. G. Magner</w:t>
      </w:r>
      <w:r w:rsidRPr="00C141E2">
        <w:rPr>
          <w:rFonts w:ascii="Times New Roman" w:hAnsi="Times New Roman"/>
          <w:b/>
          <w:vertAlign w:val="superscript"/>
        </w:rPr>
        <w:t>1,2</w:t>
      </w:r>
      <w:r w:rsidRPr="00C141E2">
        <w:rPr>
          <w:rFonts w:ascii="Times New Roman" w:hAnsi="Times New Roman"/>
          <w:b/>
        </w:rPr>
        <w:t>, A.</w:t>
      </w:r>
      <w:r w:rsidRPr="00C141E2">
        <w:rPr>
          <w:rFonts w:ascii="Times New Roman" w:hAnsi="Times New Roman"/>
          <w:b/>
          <w:lang w:val="uk-UA"/>
        </w:rPr>
        <w:t xml:space="preserve"> </w:t>
      </w:r>
      <w:r w:rsidRPr="00C141E2">
        <w:rPr>
          <w:rFonts w:ascii="Times New Roman" w:hAnsi="Times New Roman"/>
          <w:b/>
        </w:rPr>
        <w:t>I. Sanzhur</w:t>
      </w:r>
      <w:r w:rsidRPr="00C141E2">
        <w:rPr>
          <w:rFonts w:ascii="Times New Roman" w:hAnsi="Times New Roman"/>
          <w:b/>
          <w:vertAlign w:val="superscript"/>
        </w:rPr>
        <w:t>1</w:t>
      </w:r>
      <w:r w:rsidRPr="00C141E2">
        <w:rPr>
          <w:rFonts w:ascii="Times New Roman" w:hAnsi="Times New Roman"/>
          <w:b/>
        </w:rPr>
        <w:t>, S.</w:t>
      </w:r>
      <w:r w:rsidRPr="00C141E2">
        <w:rPr>
          <w:rFonts w:ascii="Times New Roman" w:hAnsi="Times New Roman"/>
          <w:b/>
          <w:lang w:val="uk-UA"/>
        </w:rPr>
        <w:t xml:space="preserve"> </w:t>
      </w:r>
      <w:r w:rsidRPr="00C141E2">
        <w:rPr>
          <w:rFonts w:ascii="Times New Roman" w:hAnsi="Times New Roman"/>
          <w:b/>
        </w:rPr>
        <w:t>N. Fedotkin</w:t>
      </w:r>
      <w:r w:rsidRPr="00C141E2">
        <w:rPr>
          <w:rFonts w:ascii="Times New Roman" w:hAnsi="Times New Roman"/>
          <w:b/>
          <w:vertAlign w:val="superscript"/>
        </w:rPr>
        <w:t>1</w:t>
      </w:r>
      <w:r w:rsidRPr="00C141E2">
        <w:rPr>
          <w:rFonts w:ascii="Times New Roman" w:hAnsi="Times New Roman"/>
          <w:b/>
        </w:rPr>
        <w:t>, A.</w:t>
      </w:r>
      <w:r w:rsidRPr="00C141E2">
        <w:rPr>
          <w:rFonts w:ascii="Times New Roman" w:hAnsi="Times New Roman"/>
          <w:b/>
          <w:lang w:val="uk-UA"/>
        </w:rPr>
        <w:t xml:space="preserve"> </w:t>
      </w:r>
      <w:r w:rsidRPr="00C141E2">
        <w:rPr>
          <w:rFonts w:ascii="Times New Roman" w:hAnsi="Times New Roman"/>
          <w:b/>
        </w:rPr>
        <w:t>I. Levon</w:t>
      </w:r>
      <w:r w:rsidRPr="00C141E2">
        <w:rPr>
          <w:rFonts w:ascii="Times New Roman" w:hAnsi="Times New Roman"/>
          <w:b/>
          <w:vertAlign w:val="superscript"/>
        </w:rPr>
        <w:t>1</w:t>
      </w:r>
      <w:r w:rsidRPr="00C141E2">
        <w:rPr>
          <w:rFonts w:ascii="Times New Roman" w:hAnsi="Times New Roman"/>
          <w:b/>
        </w:rPr>
        <w:t>, U.</w:t>
      </w:r>
      <w:r w:rsidRPr="00C141E2">
        <w:rPr>
          <w:rFonts w:ascii="Times New Roman" w:hAnsi="Times New Roman"/>
          <w:b/>
          <w:lang w:val="uk-UA"/>
        </w:rPr>
        <w:t xml:space="preserve"> </w:t>
      </w:r>
      <w:r w:rsidRPr="00C141E2">
        <w:rPr>
          <w:rFonts w:ascii="Times New Roman" w:hAnsi="Times New Roman"/>
          <w:b/>
        </w:rPr>
        <w:t>V. Grygoriev</w:t>
      </w:r>
      <w:r w:rsidRPr="00C141E2">
        <w:rPr>
          <w:rFonts w:ascii="Times New Roman" w:hAnsi="Times New Roman"/>
          <w:b/>
          <w:vertAlign w:val="superscript"/>
        </w:rPr>
        <w:t>1,3</w:t>
      </w:r>
      <w:r w:rsidRPr="00C141E2">
        <w:rPr>
          <w:rFonts w:ascii="Times New Roman" w:hAnsi="Times New Roman"/>
          <w:b/>
        </w:rPr>
        <w:t>, S. Shlomo</w:t>
      </w:r>
      <w:r w:rsidRPr="00C141E2">
        <w:rPr>
          <w:rFonts w:ascii="Times New Roman" w:hAnsi="Times New Roman"/>
          <w:b/>
          <w:vertAlign w:val="superscript"/>
        </w:rPr>
        <w:t>2</w:t>
      </w:r>
    </w:p>
    <w:p w:rsidR="00E21E91" w:rsidRPr="00C141E2" w:rsidRDefault="00E21E91" w:rsidP="00E21E91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E21E91" w:rsidRPr="00C141E2" w:rsidRDefault="00E21E91" w:rsidP="00E21E91">
      <w:pPr>
        <w:pStyle w:val="a3"/>
        <w:widowControl w:val="0"/>
        <w:suppressAutoHyphens w:val="0"/>
        <w:jc w:val="center"/>
        <w:rPr>
          <w:rFonts w:ascii="Times New Roman" w:hAnsi="Times New Roman" w:cs="Times New Roman"/>
        </w:rPr>
      </w:pPr>
      <w:r w:rsidRPr="00C141E2">
        <w:rPr>
          <w:rStyle w:val="a4"/>
          <w:rFonts w:ascii="Times New Roman" w:hAnsi="Times New Roman" w:cs="Times New Roman"/>
          <w:i/>
          <w:iCs/>
          <w:vertAlign w:val="superscript"/>
        </w:rPr>
        <w:t>1</w:t>
      </w:r>
      <w:r w:rsidRPr="00C141E2">
        <w:rPr>
          <w:rStyle w:val="a4"/>
          <w:rFonts w:ascii="Times New Roman" w:hAnsi="Times New Roman" w:cs="Times New Roman"/>
          <w:i/>
          <w:iCs/>
          <w:vertAlign w:val="superscript"/>
          <w:lang w:val="uk-UA"/>
        </w:rPr>
        <w:t xml:space="preserve"> </w:t>
      </w:r>
      <w:r w:rsidRPr="00C141E2">
        <w:rPr>
          <w:rStyle w:val="a4"/>
          <w:rFonts w:ascii="Times New Roman" w:hAnsi="Times New Roman" w:cs="Times New Roman"/>
          <w:i/>
          <w:iCs/>
        </w:rPr>
        <w:t>Institute for Nuclear Research, National Academy of Sciences of Ukraine, Kyiv, Ukraine</w:t>
      </w:r>
    </w:p>
    <w:p w:rsidR="00E21E91" w:rsidRPr="00C141E2" w:rsidRDefault="00E21E91" w:rsidP="00E21E91">
      <w:pPr>
        <w:pStyle w:val="a3"/>
        <w:widowControl w:val="0"/>
        <w:suppressAutoHyphens w:val="0"/>
        <w:jc w:val="center"/>
        <w:rPr>
          <w:rFonts w:ascii="Times New Roman" w:hAnsi="Times New Roman" w:cs="Times New Roman"/>
        </w:rPr>
      </w:pPr>
      <w:r w:rsidRPr="00C141E2">
        <w:rPr>
          <w:rStyle w:val="a4"/>
          <w:rFonts w:ascii="Times New Roman" w:eastAsia="Times Roman" w:hAnsi="Times New Roman" w:cs="Times New Roman"/>
          <w:i/>
          <w:iCs/>
          <w:vertAlign w:val="superscript"/>
        </w:rPr>
        <w:t>2</w:t>
      </w:r>
      <w:r w:rsidRPr="00C141E2">
        <w:rPr>
          <w:rStyle w:val="a4"/>
          <w:rFonts w:ascii="Times New Roman" w:eastAsia="Times Roman" w:hAnsi="Times New Roman" w:cs="Times New Roman"/>
          <w:i/>
          <w:iCs/>
          <w:vertAlign w:val="superscript"/>
          <w:lang w:val="uk-UA"/>
        </w:rPr>
        <w:t xml:space="preserve"> </w:t>
      </w:r>
      <w:r w:rsidRPr="00C141E2">
        <w:rPr>
          <w:rStyle w:val="a4"/>
          <w:rFonts w:ascii="Times New Roman" w:eastAsia="Times Roman" w:hAnsi="Times New Roman" w:cs="Times New Roman"/>
          <w:i/>
          <w:iCs/>
        </w:rPr>
        <w:t>Cyclotron Institute, Texas A&amp;M University, College Station, USA</w:t>
      </w:r>
    </w:p>
    <w:p w:rsidR="00E21E91" w:rsidRPr="00C141E2" w:rsidRDefault="00E21E91" w:rsidP="00E21E91">
      <w:pPr>
        <w:pStyle w:val="a3"/>
        <w:widowControl w:val="0"/>
        <w:suppressAutoHyphens w:val="0"/>
        <w:jc w:val="center"/>
        <w:rPr>
          <w:rFonts w:ascii="Times New Roman" w:hAnsi="Times New Roman" w:cs="Times New Roman"/>
        </w:rPr>
      </w:pPr>
      <w:r w:rsidRPr="00166DC9">
        <w:rPr>
          <w:rStyle w:val="a4"/>
          <w:rFonts w:ascii="Times New Roman" w:hAnsi="Times New Roman" w:cs="Times New Roman"/>
          <w:i/>
          <w:vertAlign w:val="superscript"/>
        </w:rPr>
        <w:t>3</w:t>
      </w:r>
      <w:r w:rsidRPr="00C141E2">
        <w:rPr>
          <w:rStyle w:val="a4"/>
          <w:rFonts w:ascii="Times New Roman" w:hAnsi="Times New Roman" w:cs="Times New Roman"/>
          <w:iCs/>
          <w:vertAlign w:val="superscript"/>
          <w:lang w:val="uk-UA"/>
        </w:rPr>
        <w:t xml:space="preserve"> </w:t>
      </w:r>
      <w:r w:rsidRPr="00C141E2">
        <w:rPr>
          <w:rStyle w:val="a4"/>
          <w:rFonts w:ascii="Times New Roman" w:eastAsia="Times Roman" w:hAnsi="Times New Roman" w:cs="Times New Roman"/>
          <w:i/>
          <w:iCs/>
        </w:rPr>
        <w:t>University of Groningen, Groningen, Netherlands</w:t>
      </w:r>
    </w:p>
    <w:p w:rsidR="00E21E91" w:rsidRPr="00C141E2" w:rsidRDefault="00E21E91" w:rsidP="00E21E91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E21E91" w:rsidRPr="00F2197B" w:rsidRDefault="00E21E91" w:rsidP="00E21E9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</w:rPr>
      </w:pPr>
      <w:r w:rsidRPr="00C141E2">
        <w:rPr>
          <w:rFonts w:ascii="Times New Roman" w:hAnsi="Times New Roman"/>
        </w:rPr>
        <w:t xml:space="preserve">In this report, we present the statistical level density </w:t>
      </w:r>
      <w:r w:rsidRPr="00C141E2">
        <w:rPr>
          <w:position w:val="-12"/>
        </w:rPr>
        <w:object w:dxaOrig="10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2pt;height:18pt" o:ole="">
            <v:imagedata r:id="rId6" o:title=""/>
          </v:shape>
          <o:OLEObject Type="Embed" ProgID="Equation.DSMT4" ShapeID="_x0000_i1025" DrawAspect="Content" ObjectID="_1790255038" r:id="rId7"/>
        </w:object>
      </w:r>
      <w:r w:rsidRPr="00F2197B">
        <w:rPr>
          <w:rFonts w:ascii="Times New Roman" w:eastAsia="Times New Roman" w:hAnsi="Times New Roman"/>
        </w:rPr>
        <w:t xml:space="preserve"> for several magic nuclei as a function of the total energy </w:t>
      </w:r>
      <m:oMath>
        <m:r>
          <w:rPr>
            <w:rFonts w:ascii="Cambria Math" w:eastAsia="Times New Roman" w:hAnsi="Cambria Math"/>
          </w:rPr>
          <m:t>E</m:t>
        </m:r>
      </m:oMath>
      <w:r w:rsidRPr="00F2197B">
        <w:rPr>
          <w:rFonts w:ascii="Times New Roman" w:eastAsia="Times New Roman" w:hAnsi="Times New Roman"/>
        </w:rPr>
        <w:t xml:space="preserve">, and number of neutrons </w:t>
      </w:r>
      <w:r w:rsidRPr="00F2197B">
        <w:rPr>
          <w:rFonts w:ascii="Times New Roman" w:eastAsia="Times New Roman" w:hAnsi="Times New Roman"/>
          <w:i/>
          <w:iCs/>
        </w:rPr>
        <w:t>N</w:t>
      </w:r>
      <w:r w:rsidRPr="00F2197B">
        <w:rPr>
          <w:rFonts w:ascii="Times New Roman" w:eastAsia="Times New Roman" w:hAnsi="Times New Roman"/>
        </w:rPr>
        <w:t xml:space="preserve"> and protons </w:t>
      </w:r>
      <w:r w:rsidRPr="00F2197B">
        <w:rPr>
          <w:rFonts w:ascii="Times New Roman" w:eastAsia="Times New Roman" w:hAnsi="Times New Roman"/>
          <w:i/>
          <w:iCs/>
        </w:rPr>
        <w:t>Z</w:t>
      </w:r>
      <w:r w:rsidRPr="00F2197B">
        <w:rPr>
          <w:rFonts w:ascii="Times New Roman" w:eastAsia="Times New Roman" w:hAnsi="Times New Roman"/>
        </w:rPr>
        <w:t xml:space="preserve"> within the micro-macroscopic approach (MMA) [1], with main focus on pairing correlations. This level density </w:t>
      </w:r>
      <w:r w:rsidRPr="00F2197B">
        <w:rPr>
          <w:rFonts w:ascii="Times New Roman" w:eastAsia="Times New Roman" w:hAnsi="Times New Roman"/>
        </w:rPr>
        <w:sym w:font="Symbol" w:char="F072"/>
      </w:r>
      <w:r w:rsidRPr="00F2197B">
        <w:rPr>
          <w:rFonts w:ascii="Times New Roman" w:eastAsia="Times New Roman" w:hAnsi="Times New Roman"/>
        </w:rPr>
        <w:t xml:space="preserve"> was improved at low excitation energy </w:t>
      </w:r>
      <w:r w:rsidRPr="00F2197B">
        <w:rPr>
          <w:rFonts w:ascii="Times New Roman" w:eastAsia="Times New Roman" w:hAnsi="Times New Roman"/>
          <w:i/>
          <w:iCs/>
        </w:rPr>
        <w:t>U</w:t>
      </w:r>
      <w:r w:rsidRPr="00F2197B">
        <w:rPr>
          <w:rFonts w:ascii="Times New Roman" w:eastAsia="Times New Roman" w:hAnsi="Times New Roman"/>
        </w:rPr>
        <w:t xml:space="preserve"> [1]. The density </w:t>
      </w:r>
      <w:r w:rsidRPr="00F2197B">
        <w:rPr>
          <w:rFonts w:ascii="Times New Roman" w:eastAsia="Times New Roman" w:hAnsi="Times New Roman"/>
        </w:rPr>
        <w:sym w:font="Symbol" w:char="F072"/>
      </w:r>
      <w:r w:rsidRPr="00F2197B">
        <w:rPr>
          <w:rFonts w:ascii="Times New Roman" w:eastAsia="Times New Roman" w:hAnsi="Times New Roman"/>
        </w:rPr>
        <w:t xml:space="preserve"> was derived as a function of the excitation energy </w:t>
      </w:r>
      <w:r w:rsidRPr="00F2197B">
        <w:rPr>
          <w:rFonts w:ascii="Times New Roman" w:eastAsia="Times New Roman" w:hAnsi="Times New Roman"/>
          <w:i/>
          <w:iCs/>
        </w:rPr>
        <w:t>U</w:t>
      </w:r>
      <w:r w:rsidRPr="00F2197B">
        <w:rPr>
          <w:rFonts w:ascii="Times New Roman" w:eastAsia="Times New Roman" w:hAnsi="Times New Roman"/>
        </w:rPr>
        <w:t xml:space="preserve">, </w:t>
      </w:r>
      <w:bookmarkStart w:id="1" w:name="MTBlankEqn"/>
      <w:r w:rsidRPr="00C141E2">
        <w:rPr>
          <w:position w:val="-12"/>
        </w:rPr>
        <w:object w:dxaOrig="1260" w:dyaOrig="380">
          <v:shape id="_x0000_i1026" type="#_x0000_t75" style="width:63.2pt;height:19.2pt" o:ole="">
            <v:imagedata r:id="rId8" o:title=""/>
          </v:shape>
          <o:OLEObject Type="Embed" ProgID="Equation.DSMT4" ShapeID="_x0000_i1026" DrawAspect="Content" ObjectID="_1790255039" r:id="rId9"/>
        </w:object>
      </w:r>
      <w:bookmarkEnd w:id="1"/>
      <w:r w:rsidRPr="00F2197B">
        <w:rPr>
          <w:rFonts w:ascii="Times New Roman" w:eastAsia="Times New Roman" w:hAnsi="Times New Roman"/>
        </w:rPr>
        <w:t xml:space="preserve">, through the system entropy, </w:t>
      </w:r>
      <w:r w:rsidRPr="00C141E2">
        <w:rPr>
          <w:position w:val="-12"/>
        </w:rPr>
        <w:object w:dxaOrig="1300" w:dyaOrig="400">
          <v:shape id="_x0000_i1027" type="#_x0000_t75" style="width:64.8pt;height:20pt" o:ole="">
            <v:imagedata r:id="rId10" o:title=""/>
          </v:shape>
          <o:OLEObject Type="Embed" ProgID="Equation.DSMT4" ShapeID="_x0000_i1027" DrawAspect="Content" ObjectID="_1790255040" r:id="rId11"/>
        </w:object>
      </w:r>
      <w:r w:rsidRPr="00F2197B">
        <w:rPr>
          <w:rFonts w:ascii="Times New Roman" w:eastAsia="Times New Roman" w:hAnsi="Times New Roman"/>
        </w:rPr>
        <w:t xml:space="preserve"> where </w:t>
      </w:r>
      <w:r w:rsidRPr="00F2197B">
        <w:rPr>
          <w:rFonts w:ascii="Times New Roman" w:eastAsia="Times New Roman" w:hAnsi="Times New Roman"/>
        </w:rPr>
        <w:sym w:font="Symbol" w:char="F061"/>
      </w:r>
      <w:r w:rsidRPr="00F2197B">
        <w:rPr>
          <w:rFonts w:ascii="Times New Roman" w:eastAsia="Times New Roman" w:hAnsi="Times New Roman"/>
        </w:rPr>
        <w:t xml:space="preserve"> is the level density parameter, </w:t>
      </w:r>
      <w:r w:rsidRPr="00C141E2">
        <w:rPr>
          <w:position w:val="-12"/>
        </w:rPr>
        <w:object w:dxaOrig="600" w:dyaOrig="360">
          <v:shape id="_x0000_i1028" type="#_x0000_t75" style="width:30pt;height:18pt" o:ole="">
            <v:imagedata r:id="rId12" o:title=""/>
          </v:shape>
          <o:OLEObject Type="Embed" ProgID="Equation.DSMT4" ShapeID="_x0000_i1028" DrawAspect="Content" ObjectID="_1790255041" r:id="rId13"/>
        </w:object>
      </w:r>
      <w:r w:rsidRPr="00F2197B">
        <w:rPr>
          <w:rFonts w:ascii="Times New Roman" w:eastAsia="Times New Roman" w:hAnsi="Times New Roman"/>
        </w:rPr>
        <w:t xml:space="preserve"> is the modified Bessel function of order </w:t>
      </w:r>
      <w:r w:rsidRPr="00F2197B">
        <w:rPr>
          <w:rFonts w:ascii="Times New Roman" w:eastAsia="Times New Roman" w:hAnsi="Times New Roman"/>
          <w:i/>
          <w:iCs/>
        </w:rPr>
        <w:t>v</w:t>
      </w:r>
      <w:r w:rsidRPr="00F2197B">
        <w:rPr>
          <w:rFonts w:ascii="Times New Roman" w:eastAsia="Times New Roman" w:hAnsi="Times New Roman"/>
        </w:rPr>
        <w:t xml:space="preserve">. The orders </w:t>
      </w:r>
      <w:r w:rsidRPr="00F2197B">
        <w:rPr>
          <w:rFonts w:ascii="Times New Roman" w:eastAsia="Times New Roman" w:hAnsi="Times New Roman"/>
          <w:i/>
          <w:iCs/>
        </w:rPr>
        <w:t>v</w:t>
      </w:r>
      <w:r w:rsidRPr="00F2197B">
        <w:rPr>
          <w:rFonts w:ascii="Times New Roman" w:eastAsia="Times New Roman" w:hAnsi="Times New Roman"/>
        </w:rPr>
        <w:t xml:space="preserve"> = 2 and </w:t>
      </w:r>
      <w:r w:rsidRPr="00F2197B">
        <w:rPr>
          <w:rFonts w:ascii="Times New Roman" w:eastAsia="Times New Roman" w:hAnsi="Times New Roman"/>
          <w:i/>
          <w:iCs/>
        </w:rPr>
        <w:t>v</w:t>
      </w:r>
      <w:r w:rsidRPr="00F2197B">
        <w:rPr>
          <w:rFonts w:ascii="Times New Roman" w:eastAsia="Times New Roman" w:hAnsi="Times New Roman"/>
        </w:rPr>
        <w:t xml:space="preserve"> = 3 correspond to the cases of neglecting (MMA1) and dominating (MMA2) shell contributions, respectively. Taking into account the particle number fluctuations beyond the Bardeen - Cooper - Schrieffer (BCS) theory, the pairing gap </w:t>
      </w:r>
      <w:r w:rsidRPr="00C141E2">
        <w:rPr>
          <w:position w:val="-10"/>
        </w:rPr>
        <w:object w:dxaOrig="300" w:dyaOrig="320">
          <v:shape id="_x0000_i1029" type="#_x0000_t75" style="width:15.2pt;height:16.4pt" o:ole="">
            <v:imagedata r:id="rId14" o:title=""/>
          </v:shape>
          <o:OLEObject Type="Embed" ProgID="Equation.DSMT4" ShapeID="_x0000_i1029" DrawAspect="Content" ObjectID="_1790255042" r:id="rId15"/>
        </w:object>
      </w:r>
      <w:r w:rsidRPr="00F2197B">
        <w:rPr>
          <w:rFonts w:ascii="Times New Roman" w:eastAsia="Times New Roman" w:hAnsi="Times New Roman"/>
        </w:rPr>
        <w:t xml:space="preserve"> can be considered as a smooth function of the particle number </w:t>
      </w:r>
      <w:r w:rsidRPr="00F2197B">
        <w:rPr>
          <w:rFonts w:ascii="Times New Roman" w:eastAsia="Times New Roman" w:hAnsi="Times New Roman"/>
          <w:i/>
          <w:iCs/>
        </w:rPr>
        <w:t>A</w:t>
      </w:r>
      <w:r w:rsidRPr="00F2197B">
        <w:rPr>
          <w:rFonts w:ascii="Times New Roman" w:eastAsia="Times New Roman" w:hAnsi="Times New Roman"/>
        </w:rPr>
        <w:t xml:space="preserve">. The pairing gap </w:t>
      </w:r>
      <w:r w:rsidRPr="00C141E2">
        <w:rPr>
          <w:position w:val="-10"/>
        </w:rPr>
        <w:object w:dxaOrig="300" w:dyaOrig="320">
          <v:shape id="_x0000_i1030" type="#_x0000_t75" style="width:15.2pt;height:16.4pt" o:ole="">
            <v:imagedata r:id="rId16" o:title=""/>
          </v:shape>
          <o:OLEObject Type="Embed" ProgID="Equation.DSMT4" ShapeID="_x0000_i1030" DrawAspect="Content" ObjectID="_1790255043" r:id="rId17"/>
        </w:object>
      </w:r>
      <w:r w:rsidRPr="00F2197B">
        <w:rPr>
          <w:rFonts w:ascii="Times New Roman" w:eastAsia="Times New Roman" w:hAnsi="Times New Roman"/>
        </w:rPr>
        <w:t xml:space="preserve"> is often approximated by the phenomenological quantity </w:t>
      </w:r>
      <w:r w:rsidRPr="00C141E2">
        <w:rPr>
          <w:position w:val="-10"/>
        </w:rPr>
        <w:object w:dxaOrig="1200" w:dyaOrig="360">
          <v:shape id="_x0000_i1031" type="#_x0000_t75" style="width:60pt;height:18pt" o:ole="">
            <v:imagedata r:id="rId18" o:title=""/>
          </v:shape>
          <o:OLEObject Type="Embed" ProgID="Equation.DSMT4" ShapeID="_x0000_i1031" DrawAspect="Content" ObjectID="_1790255044" r:id="rId19"/>
        </w:object>
      </w:r>
      <w:r w:rsidRPr="00F2197B">
        <w:rPr>
          <w:rFonts w:ascii="Times New Roman" w:eastAsia="Times New Roman" w:hAnsi="Times New Roman"/>
        </w:rPr>
        <w:t xml:space="preserve"> MeV. For the condensation energy </w:t>
      </w:r>
      <w:r w:rsidRPr="00C141E2">
        <w:rPr>
          <w:position w:val="-10"/>
        </w:rPr>
        <w:object w:dxaOrig="279" w:dyaOrig="320">
          <v:shape id="_x0000_i1032" type="#_x0000_t75" style="width:13.6pt;height:16.4pt" o:ole="">
            <v:imagedata r:id="rId20" o:title=""/>
          </v:shape>
          <o:OLEObject Type="Embed" ProgID="Equation.DSMT4" ShapeID="_x0000_i1032" DrawAspect="Content" ObjectID="_1790255045" r:id="rId21"/>
        </w:object>
      </w:r>
      <w:r w:rsidRPr="00F2197B">
        <w:rPr>
          <w:rFonts w:ascii="Times New Roman" w:eastAsia="Times New Roman" w:hAnsi="Times New Roman"/>
        </w:rPr>
        <w:t xml:space="preserve"> and the critical excitation energy </w:t>
      </w:r>
      <w:r w:rsidRPr="00C141E2">
        <w:rPr>
          <w:position w:val="-10"/>
        </w:rPr>
        <w:object w:dxaOrig="300" w:dyaOrig="320">
          <v:shape id="_x0000_i1033" type="#_x0000_t75" style="width:15.2pt;height:16.4pt" o:ole="">
            <v:imagedata r:id="rId22" o:title=""/>
          </v:shape>
          <o:OLEObject Type="Embed" ProgID="Equation.DSMT4" ShapeID="_x0000_i1033" DrawAspect="Content" ObjectID="_1790255046" r:id="rId23"/>
        </w:object>
      </w:r>
      <w:r w:rsidRPr="00F2197B">
        <w:rPr>
          <w:rFonts w:ascii="Times New Roman" w:eastAsia="Times New Roman" w:hAnsi="Times New Roman"/>
        </w:rPr>
        <w:t xml:space="preserve"> for a superfluid-normal phase transition, one can use the well-known approximations, </w:t>
      </w:r>
      <w:r w:rsidRPr="00C141E2">
        <w:rPr>
          <w:position w:val="-16"/>
        </w:rPr>
        <w:object w:dxaOrig="1620" w:dyaOrig="440">
          <v:shape id="_x0000_i1034" type="#_x0000_t75" style="width:81.2pt;height:22pt" o:ole="">
            <v:imagedata r:id="rId24" o:title=""/>
          </v:shape>
          <o:OLEObject Type="Embed" ProgID="Equation.DSMT4" ShapeID="_x0000_i1034" DrawAspect="Content" ObjectID="_1790255047" r:id="rId25"/>
        </w:object>
      </w:r>
      <w:r w:rsidRPr="00F2197B">
        <w:rPr>
          <w:rFonts w:ascii="Times New Roman" w:eastAsia="Times New Roman" w:hAnsi="Times New Roman"/>
        </w:rPr>
        <w:t xml:space="preserve"> and </w:t>
      </w:r>
      <w:r w:rsidRPr="00C141E2">
        <w:rPr>
          <w:position w:val="-12"/>
        </w:rPr>
        <w:object w:dxaOrig="1920" w:dyaOrig="380">
          <v:shape id="_x0000_i1035" type="#_x0000_t75" style="width:96pt;height:19.2pt" o:ole="">
            <v:imagedata r:id="rId26" o:title=""/>
          </v:shape>
          <o:OLEObject Type="Embed" ProgID="Equation.DSMT4" ShapeID="_x0000_i1035" DrawAspect="Content" ObjectID="_1790255048" r:id="rId27"/>
        </w:object>
      </w:r>
      <w:r w:rsidRPr="00F2197B">
        <w:rPr>
          <w:rFonts w:ascii="Times New Roman" w:eastAsia="Times New Roman" w:hAnsi="Times New Roman"/>
        </w:rPr>
        <w:t xml:space="preserve">, where </w:t>
      </w:r>
      <w:r w:rsidRPr="00C141E2">
        <w:rPr>
          <w:position w:val="-10"/>
        </w:rPr>
        <w:object w:dxaOrig="1200" w:dyaOrig="360">
          <v:shape id="_x0000_i1036" type="#_x0000_t75" style="width:60pt;height:18pt" o:ole="">
            <v:imagedata r:id="rId28" o:title=""/>
          </v:shape>
          <o:OLEObject Type="Embed" ProgID="Equation.DSMT4" ShapeID="_x0000_i1036" DrawAspect="Content" ObjectID="_1790255049" r:id="rId29"/>
        </w:object>
      </w:r>
      <w:r w:rsidRPr="00F2197B">
        <w:rPr>
          <w:rFonts w:ascii="Times New Roman" w:eastAsia="Times New Roman" w:hAnsi="Times New Roman"/>
        </w:rPr>
        <w:t xml:space="preserve"> with the Euler constant </w:t>
      </w:r>
      <w:r w:rsidRPr="00F2197B">
        <w:rPr>
          <w:rFonts w:ascii="Times New Roman" w:eastAsia="Times New Roman" w:hAnsi="Times New Roman"/>
          <w:i/>
          <w:iCs/>
        </w:rPr>
        <w:t>C</w:t>
      </w:r>
      <w:r w:rsidRPr="00F2197B">
        <w:rPr>
          <w:rFonts w:ascii="Times New Roman" w:eastAsia="Times New Roman" w:hAnsi="Times New Roman"/>
        </w:rPr>
        <w:t xml:space="preserve">, and </w:t>
      </w:r>
      <w:r w:rsidRPr="00F2197B">
        <w:rPr>
          <w:rFonts w:ascii="Times New Roman" w:eastAsia="Times New Roman" w:hAnsi="Times New Roman"/>
          <w:i/>
          <w:iCs/>
        </w:rPr>
        <w:t>G</w:t>
      </w:r>
      <w:r w:rsidRPr="00F2197B">
        <w:rPr>
          <w:rFonts w:ascii="Times New Roman" w:eastAsia="Times New Roman" w:hAnsi="Times New Roman"/>
        </w:rPr>
        <w:t xml:space="preserve"> is the mean matrix element of residue interaction. The excitation energy </w:t>
      </w:r>
      <w:r w:rsidRPr="00F2197B">
        <w:rPr>
          <w:rFonts w:ascii="Times New Roman" w:eastAsia="Times New Roman" w:hAnsi="Times New Roman"/>
          <w:i/>
          <w:iCs/>
        </w:rPr>
        <w:t>U</w:t>
      </w:r>
      <w:r w:rsidRPr="00F2197B">
        <w:rPr>
          <w:rFonts w:ascii="Times New Roman" w:eastAsia="Times New Roman" w:hAnsi="Times New Roman"/>
        </w:rPr>
        <w:t xml:space="preserve"> of the system entropy </w:t>
      </w:r>
      <w:r w:rsidRPr="00F2197B">
        <w:rPr>
          <w:rFonts w:ascii="Times New Roman" w:eastAsia="Times New Roman" w:hAnsi="Times New Roman"/>
          <w:i/>
          <w:iCs/>
        </w:rPr>
        <w:t>S</w:t>
      </w:r>
      <w:r w:rsidRPr="00F2197B">
        <w:rPr>
          <w:rFonts w:ascii="Times New Roman" w:eastAsia="Times New Roman" w:hAnsi="Times New Roman"/>
        </w:rPr>
        <w:t xml:space="preserve"> is shifted over </w:t>
      </w:r>
      <w:r w:rsidRPr="00C141E2">
        <w:rPr>
          <w:position w:val="-10"/>
        </w:rPr>
        <w:object w:dxaOrig="279" w:dyaOrig="320">
          <v:shape id="_x0000_i1037" type="#_x0000_t75" style="width:13.6pt;height:16.4pt" o:ole="">
            <v:imagedata r:id="rId30" o:title=""/>
          </v:shape>
          <o:OLEObject Type="Embed" ProgID="Equation.DSMT4" ShapeID="_x0000_i1037" DrawAspect="Content" ObjectID="_1790255050" r:id="rId31"/>
        </w:object>
      </w:r>
      <w:r w:rsidRPr="00F2197B">
        <w:rPr>
          <w:rFonts w:ascii="Times New Roman" w:eastAsia="Times New Roman" w:hAnsi="Times New Roman"/>
        </w:rPr>
        <w:t xml:space="preserve"> due to </w:t>
      </w:r>
      <w:proofErr w:type="spellStart"/>
      <w:r w:rsidRPr="00F2197B">
        <w:rPr>
          <w:rFonts w:ascii="Times New Roman" w:eastAsia="Times New Roman" w:hAnsi="Times New Roman"/>
        </w:rPr>
        <w:t>superfluidity</w:t>
      </w:r>
      <w:proofErr w:type="spellEnd"/>
      <w:r w:rsidRPr="00F2197B">
        <w:rPr>
          <w:rFonts w:ascii="Times New Roman" w:eastAsia="Times New Roman" w:hAnsi="Times New Roman"/>
        </w:rPr>
        <w:t xml:space="preserve">, and </w:t>
      </w:r>
      <w:r w:rsidRPr="00C141E2">
        <w:rPr>
          <w:position w:val="-10"/>
        </w:rPr>
        <w:object w:dxaOrig="240" w:dyaOrig="320">
          <v:shape id="_x0000_i1038" type="#_x0000_t75" style="width:12pt;height:16.4pt" o:ole="">
            <v:imagedata r:id="rId32" o:title=""/>
          </v:shape>
          <o:OLEObject Type="Embed" ProgID="Equation.DSMT4" ShapeID="_x0000_i1038" DrawAspect="Content" ObjectID="_1790255051" r:id="rId33"/>
        </w:object>
      </w:r>
      <w:r w:rsidRPr="00F2197B">
        <w:rPr>
          <w:rFonts w:ascii="Times New Roman" w:eastAsia="Times New Roman" w:hAnsi="Times New Roman"/>
        </w:rPr>
        <w:t xml:space="preserve"> is the evaluated critical temperature where </w:t>
      </w:r>
      <w:proofErr w:type="spellStart"/>
      <w:r w:rsidRPr="00F2197B">
        <w:rPr>
          <w:rFonts w:ascii="Times New Roman" w:eastAsia="Times New Roman" w:hAnsi="Times New Roman"/>
        </w:rPr>
        <w:t>superfluidity</w:t>
      </w:r>
      <w:proofErr w:type="spellEnd"/>
      <w:r w:rsidRPr="00F2197B">
        <w:rPr>
          <w:rFonts w:ascii="Times New Roman" w:eastAsia="Times New Roman" w:hAnsi="Times New Roman"/>
        </w:rPr>
        <w:t xml:space="preserve"> disappears. In this way, we take into account the nuclear shell and pairing effects in terms of the inverse level density parameter </w:t>
      </w:r>
      <w:r w:rsidRPr="00C141E2">
        <w:rPr>
          <w:position w:val="-6"/>
        </w:rPr>
        <w:object w:dxaOrig="880" w:dyaOrig="260">
          <v:shape id="_x0000_i1039" type="#_x0000_t75" style="width:43.6pt;height:13.2pt" o:ole="">
            <v:imagedata r:id="rId34" o:title=""/>
          </v:shape>
          <o:OLEObject Type="Embed" ProgID="Equation.DSMT4" ShapeID="_x0000_i1039" DrawAspect="Content" ObjectID="_1790255052" r:id="rId35"/>
        </w:object>
      </w:r>
      <w:r w:rsidRPr="00F2197B">
        <w:rPr>
          <w:rFonts w:ascii="Times New Roman" w:eastAsia="Times New Roman" w:hAnsi="Times New Roman"/>
        </w:rPr>
        <w:t xml:space="preserve"> and the condensation energy shift </w:t>
      </w:r>
      <w:r w:rsidRPr="00C141E2">
        <w:rPr>
          <w:position w:val="-10"/>
        </w:rPr>
        <w:object w:dxaOrig="279" w:dyaOrig="320">
          <v:shape id="_x0000_i1040" type="#_x0000_t75" style="width:13.6pt;height:16.4pt" o:ole="">
            <v:imagedata r:id="rId36" o:title=""/>
          </v:shape>
          <o:OLEObject Type="Embed" ProgID="Equation.DSMT4" ShapeID="_x0000_i1040" DrawAspect="Content" ObjectID="_1790255053" r:id="rId37"/>
        </w:object>
      </w:r>
      <w:r w:rsidRPr="00F2197B">
        <w:rPr>
          <w:rFonts w:ascii="Times New Roman" w:eastAsia="Times New Roman" w:hAnsi="Times New Roman"/>
        </w:rPr>
        <w:t>.</w:t>
      </w:r>
    </w:p>
    <w:p w:rsidR="00E21E91" w:rsidRPr="00F2197B" w:rsidRDefault="00E21E91" w:rsidP="00E21E9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</w:rPr>
      </w:pPr>
      <w:r w:rsidRPr="00F2197B">
        <w:rPr>
          <w:rFonts w:ascii="Times New Roman" w:eastAsia="Times New Roman" w:hAnsi="Times New Roman"/>
        </w:rPr>
        <w:t xml:space="preserve">Figure presents a comparison between the MMA approaches for relatively small excitation energies </w:t>
      </w:r>
      <w:r w:rsidRPr="00F2197B">
        <w:rPr>
          <w:rFonts w:ascii="Times New Roman" w:eastAsia="Times New Roman" w:hAnsi="Times New Roman"/>
          <w:i/>
          <w:iCs/>
        </w:rPr>
        <w:t>U</w:t>
      </w:r>
      <w:r w:rsidRPr="00F2197B">
        <w:rPr>
          <w:rFonts w:ascii="Times New Roman" w:eastAsia="Times New Roman" w:hAnsi="Times New Roman"/>
        </w:rPr>
        <w:t xml:space="preserve">, below neutron resonances, in four complex nuclei </w:t>
      </w:r>
      <w:r w:rsidRPr="00F2197B">
        <w:rPr>
          <w:rFonts w:ascii="Times New Roman" w:eastAsia="Times New Roman" w:hAnsi="Times New Roman"/>
          <w:vertAlign w:val="superscript"/>
        </w:rPr>
        <w:t>40</w:t>
      </w:r>
      <w:r w:rsidRPr="00F2197B">
        <w:rPr>
          <w:rFonts w:ascii="Times New Roman" w:eastAsia="Times New Roman" w:hAnsi="Times New Roman"/>
        </w:rPr>
        <w:t>Ca (</w:t>
      </w:r>
      <w:r w:rsidRPr="00F2197B">
        <w:rPr>
          <w:rFonts w:ascii="Times New Roman" w:eastAsia="Times New Roman" w:hAnsi="Times New Roman"/>
          <w:i/>
          <w:iCs/>
        </w:rPr>
        <w:t>a</w:t>
      </w:r>
      <w:r w:rsidRPr="00F2197B">
        <w:rPr>
          <w:rFonts w:ascii="Times New Roman" w:eastAsia="Times New Roman" w:hAnsi="Times New Roman"/>
        </w:rPr>
        <w:t xml:space="preserve">), </w:t>
      </w:r>
      <w:r w:rsidRPr="00F2197B">
        <w:rPr>
          <w:rFonts w:ascii="Times New Roman" w:eastAsia="Times New Roman" w:hAnsi="Times New Roman"/>
          <w:vertAlign w:val="superscript"/>
        </w:rPr>
        <w:t>56</w:t>
      </w:r>
      <w:r w:rsidRPr="00F2197B">
        <w:rPr>
          <w:rFonts w:ascii="Times New Roman" w:eastAsia="Times New Roman" w:hAnsi="Times New Roman"/>
        </w:rPr>
        <w:t>Ni (</w:t>
      </w:r>
      <w:r w:rsidRPr="00F2197B">
        <w:rPr>
          <w:rFonts w:ascii="Times New Roman" w:eastAsia="Times New Roman" w:hAnsi="Times New Roman"/>
          <w:i/>
          <w:iCs/>
        </w:rPr>
        <w:t>b</w:t>
      </w:r>
      <w:r w:rsidRPr="00F2197B">
        <w:rPr>
          <w:rFonts w:ascii="Times New Roman" w:eastAsia="Times New Roman" w:hAnsi="Times New Roman"/>
        </w:rPr>
        <w:t xml:space="preserve">), </w:t>
      </w:r>
      <w:r w:rsidRPr="00F2197B">
        <w:rPr>
          <w:rFonts w:ascii="Times New Roman" w:eastAsia="Times New Roman" w:hAnsi="Times New Roman"/>
          <w:vertAlign w:val="superscript"/>
        </w:rPr>
        <w:t>54</w:t>
      </w:r>
      <w:r w:rsidRPr="00F2197B">
        <w:rPr>
          <w:rFonts w:ascii="Times New Roman" w:eastAsia="Times New Roman" w:hAnsi="Times New Roman"/>
        </w:rPr>
        <w:t>Fe (</w:t>
      </w:r>
      <w:r w:rsidRPr="00F2197B">
        <w:rPr>
          <w:rFonts w:ascii="Times New Roman" w:eastAsia="Times New Roman" w:hAnsi="Times New Roman"/>
          <w:i/>
          <w:iCs/>
        </w:rPr>
        <w:t>c</w:t>
      </w:r>
      <w:r w:rsidRPr="00F2197B">
        <w:rPr>
          <w:rFonts w:ascii="Times New Roman" w:eastAsia="Times New Roman" w:hAnsi="Times New Roman"/>
        </w:rPr>
        <w:t xml:space="preserve">), and </w:t>
      </w:r>
      <w:r w:rsidRPr="00F2197B">
        <w:rPr>
          <w:rFonts w:ascii="Times New Roman" w:eastAsia="Times New Roman" w:hAnsi="Times New Roman"/>
          <w:vertAlign w:val="superscript"/>
        </w:rPr>
        <w:t>52</w:t>
      </w:r>
      <w:r w:rsidRPr="00F2197B">
        <w:rPr>
          <w:rFonts w:ascii="Times New Roman" w:eastAsia="Times New Roman" w:hAnsi="Times New Roman"/>
        </w:rPr>
        <w:t>Fe (</w:t>
      </w:r>
      <w:r w:rsidRPr="00F2197B">
        <w:rPr>
          <w:rFonts w:ascii="Times New Roman" w:eastAsia="Times New Roman" w:hAnsi="Times New Roman"/>
          <w:i/>
          <w:iCs/>
        </w:rPr>
        <w:t>d</w:t>
      </w:r>
      <w:r w:rsidRPr="00F2197B">
        <w:rPr>
          <w:rFonts w:ascii="Times New Roman" w:eastAsia="Times New Roman" w:hAnsi="Times New Roman"/>
        </w:rPr>
        <w:t xml:space="preserve">), and the experimental data obtained from the database </w:t>
      </w:r>
      <w:hyperlink r:id="rId38" w:history="1">
        <w:r w:rsidRPr="00F2197B">
          <w:rPr>
            <w:rStyle w:val="a5"/>
            <w:rFonts w:ascii="Times New Roman" w:eastAsia="Times New Roman" w:hAnsi="Times New Roman"/>
          </w:rPr>
          <w:t>http://www.nndc.bnl.gov/ensdf</w:t>
        </w:r>
      </w:hyperlink>
      <w:r w:rsidRPr="00F2197B">
        <w:rPr>
          <w:rFonts w:ascii="Times New Roman" w:eastAsia="Times New Roman" w:hAnsi="Times New Roman"/>
        </w:rPr>
        <w:t xml:space="preserve">. Close points with errors are obtained by using the energies and spins of excited states (with spin degeneracies) by the macroscopic sample method [1]. The results for MMA2a level density approach (with dominating contributions of shell and pairing corrections from [2]) in magic nucleus </w:t>
      </w:r>
      <w:r w:rsidRPr="00F2197B">
        <w:rPr>
          <w:rFonts w:ascii="Times New Roman" w:eastAsia="Times New Roman" w:hAnsi="Times New Roman"/>
          <w:vertAlign w:val="superscript"/>
        </w:rPr>
        <w:t>40</w:t>
      </w:r>
      <w:r w:rsidRPr="00F2197B">
        <w:rPr>
          <w:rFonts w:ascii="Times New Roman" w:eastAsia="Times New Roman" w:hAnsi="Times New Roman"/>
        </w:rPr>
        <w:t>Ca (</w:t>
      </w:r>
      <w:r w:rsidRPr="00C141E2">
        <w:rPr>
          <w:position w:val="-10"/>
        </w:rPr>
        <w:object w:dxaOrig="800" w:dyaOrig="320">
          <v:shape id="_x0000_i1041" type="#_x0000_t75" style="width:40.4pt;height:16.4pt" o:ole="">
            <v:imagedata r:id="rId39" o:title=""/>
          </v:shape>
          <o:OLEObject Type="Embed" ProgID="Equation.DSMT4" ShapeID="_x0000_i1041" DrawAspect="Content" ObjectID="_1790255054" r:id="rId40"/>
        </w:object>
      </w:r>
      <w:r w:rsidRPr="00F2197B">
        <w:rPr>
          <w:rFonts w:ascii="Times New Roman" w:eastAsia="Times New Roman" w:hAnsi="Times New Roman"/>
        </w:rPr>
        <w:t xml:space="preserve"> MeV, </w:t>
      </w:r>
      <w:r w:rsidRPr="00C141E2">
        <w:rPr>
          <w:position w:val="-10"/>
        </w:rPr>
        <w:object w:dxaOrig="800" w:dyaOrig="320">
          <v:shape id="_x0000_i1042" type="#_x0000_t75" style="width:40.4pt;height:16.4pt" o:ole="">
            <v:imagedata r:id="rId41" o:title=""/>
          </v:shape>
          <o:OLEObject Type="Embed" ProgID="Equation.DSMT4" ShapeID="_x0000_i1042" DrawAspect="Content" ObjectID="_1790255055" r:id="rId42"/>
        </w:object>
      </w:r>
      <w:r w:rsidRPr="00F2197B">
        <w:rPr>
          <w:rFonts w:ascii="Times New Roman" w:eastAsia="Times New Roman" w:hAnsi="Times New Roman"/>
        </w:rPr>
        <w:t xml:space="preserve"> MeV) with the least mean square fit (LMSF) error </w:t>
      </w:r>
      <w:r w:rsidRPr="00C141E2">
        <w:rPr>
          <w:position w:val="-6"/>
        </w:rPr>
        <w:object w:dxaOrig="680" w:dyaOrig="260">
          <v:shape id="_x0000_i1043" type="#_x0000_t75" style="width:34.4pt;height:13.2pt" o:ole="">
            <v:imagedata r:id="rId43" o:title=""/>
          </v:shape>
          <o:OLEObject Type="Embed" ProgID="Equation.DSMT4" ShapeID="_x0000_i1043" DrawAspect="Content" ObjectID="_1790255056" r:id="rId44"/>
        </w:object>
      </w:r>
      <w:r w:rsidRPr="00F2197B">
        <w:rPr>
          <w:rFonts w:ascii="Times New Roman" w:eastAsia="Times New Roman" w:hAnsi="Times New Roman"/>
        </w:rPr>
        <w:t xml:space="preserve"> agrees well with the experimental data obtained by LMS fitting using one physical parameter – the inverse level density parameter </w:t>
      </w:r>
      <w:r w:rsidRPr="00F2197B">
        <w:rPr>
          <w:rFonts w:ascii="Times New Roman" w:eastAsia="Times New Roman" w:hAnsi="Times New Roman"/>
          <w:i/>
          <w:iCs/>
        </w:rPr>
        <w:t>K</w:t>
      </w:r>
      <w:r w:rsidRPr="00F2197B">
        <w:rPr>
          <w:rFonts w:ascii="Times New Roman" w:eastAsia="Times New Roman" w:hAnsi="Times New Roman"/>
        </w:rPr>
        <w:t xml:space="preserve">. Those for the MMA2b approach (also with dominating contributions of these corrections but due to their large derivatives of the shell corrections over </w:t>
      </w:r>
      <w:r w:rsidRPr="00F2197B">
        <w:rPr>
          <w:rFonts w:ascii="Times New Roman" w:eastAsia="Times New Roman" w:hAnsi="Times New Roman"/>
        </w:rPr>
        <w:lastRenderedPageBreak/>
        <w:t xml:space="preserve">the chemical potential) in magic nucleus </w:t>
      </w:r>
      <w:r w:rsidRPr="00F2197B">
        <w:rPr>
          <w:rFonts w:ascii="Times New Roman" w:eastAsia="Times New Roman" w:hAnsi="Times New Roman"/>
          <w:vertAlign w:val="superscript"/>
        </w:rPr>
        <w:t>56</w:t>
      </w:r>
      <w:r w:rsidRPr="00F2197B">
        <w:rPr>
          <w:rFonts w:ascii="Times New Roman" w:eastAsia="Times New Roman" w:hAnsi="Times New Roman"/>
        </w:rPr>
        <w:t>Ni (</w:t>
      </w:r>
      <w:r w:rsidRPr="00C141E2">
        <w:rPr>
          <w:position w:val="-10"/>
        </w:rPr>
        <w:object w:dxaOrig="800" w:dyaOrig="320">
          <v:shape id="_x0000_i1044" type="#_x0000_t75" style="width:40.4pt;height:16.4pt" o:ole="">
            <v:imagedata r:id="rId45" o:title=""/>
          </v:shape>
          <o:OLEObject Type="Embed" ProgID="Equation.DSMT4" ShapeID="_x0000_i1044" DrawAspect="Content" ObjectID="_1790255057" r:id="rId46"/>
        </w:object>
      </w:r>
      <w:r w:rsidRPr="00F2197B">
        <w:rPr>
          <w:rFonts w:ascii="Times New Roman" w:eastAsia="Times New Roman" w:hAnsi="Times New Roman"/>
        </w:rPr>
        <w:t xml:space="preserve"> MeV, </w:t>
      </w:r>
      <w:r w:rsidRPr="00C141E2">
        <w:rPr>
          <w:position w:val="-10"/>
        </w:rPr>
        <w:object w:dxaOrig="800" w:dyaOrig="320">
          <v:shape id="_x0000_i1045" type="#_x0000_t75" style="width:40.4pt;height:16.4pt" o:ole="">
            <v:imagedata r:id="rId47" o:title=""/>
          </v:shape>
          <o:OLEObject Type="Embed" ProgID="Equation.DSMT4" ShapeID="_x0000_i1045" DrawAspect="Content" ObjectID="_1790255058" r:id="rId48"/>
        </w:object>
      </w:r>
      <w:r w:rsidRPr="00F2197B">
        <w:rPr>
          <w:rFonts w:ascii="Times New Roman" w:eastAsia="Times New Roman" w:hAnsi="Times New Roman"/>
        </w:rPr>
        <w:t xml:space="preserve"> MeV, </w:t>
      </w:r>
      <w:r w:rsidRPr="00C141E2">
        <w:rPr>
          <w:position w:val="-6"/>
        </w:rPr>
        <w:object w:dxaOrig="700" w:dyaOrig="260">
          <v:shape id="_x0000_i1046" type="#_x0000_t75" style="width:34.8pt;height:13.2pt" o:ole="">
            <v:imagedata r:id="rId49" o:title=""/>
          </v:shape>
          <o:OLEObject Type="Embed" ProgID="Equation.DSMT4" ShapeID="_x0000_i1046" DrawAspect="Content" ObjectID="_1790255059" r:id="rId50"/>
        </w:object>
      </w:r>
      <w:r w:rsidRPr="00F2197B">
        <w:rPr>
          <w:rFonts w:ascii="Times New Roman" w:eastAsia="Times New Roman" w:hAnsi="Times New Roman"/>
        </w:rPr>
        <w:t xml:space="preserve">) are less in agreement with the experimental data when using similar LMS fitting. Pairing effects are larger for </w:t>
      </w:r>
      <w:r w:rsidRPr="00F2197B">
        <w:rPr>
          <w:rFonts w:ascii="Times New Roman" w:eastAsia="Times New Roman" w:hAnsi="Times New Roman"/>
          <w:vertAlign w:val="superscript"/>
        </w:rPr>
        <w:t>40</w:t>
      </w:r>
      <w:r w:rsidRPr="00F2197B">
        <w:rPr>
          <w:rFonts w:ascii="Times New Roman" w:eastAsia="Times New Roman" w:hAnsi="Times New Roman"/>
        </w:rPr>
        <w:t>Ca (</w:t>
      </w:r>
      <w:r w:rsidRPr="00F2197B">
        <w:rPr>
          <w:rFonts w:ascii="Times New Roman" w:eastAsia="Times New Roman" w:hAnsi="Times New Roman"/>
          <w:i/>
          <w:iCs/>
        </w:rPr>
        <w:t>a</w:t>
      </w:r>
      <w:r w:rsidRPr="00F2197B">
        <w:rPr>
          <w:rFonts w:ascii="Times New Roman" w:eastAsia="Times New Roman" w:hAnsi="Times New Roman"/>
        </w:rPr>
        <w:t xml:space="preserve">), see the difference between dashed and solid lines, in contrast to the </w:t>
      </w:r>
      <w:r w:rsidRPr="00F2197B">
        <w:rPr>
          <w:rFonts w:ascii="Times New Roman" w:eastAsia="Times New Roman" w:hAnsi="Times New Roman"/>
          <w:vertAlign w:val="superscript"/>
        </w:rPr>
        <w:t>56</w:t>
      </w:r>
      <w:r w:rsidRPr="00F2197B">
        <w:rPr>
          <w:rFonts w:ascii="Times New Roman" w:eastAsia="Times New Roman" w:hAnsi="Times New Roman"/>
        </w:rPr>
        <w:t>Ni (</w:t>
      </w:r>
      <w:r w:rsidRPr="00F2197B">
        <w:rPr>
          <w:rFonts w:ascii="Times New Roman" w:eastAsia="Times New Roman" w:hAnsi="Times New Roman"/>
          <w:i/>
          <w:iCs/>
        </w:rPr>
        <w:t>b</w:t>
      </w:r>
      <w:r w:rsidRPr="00F2197B">
        <w:rPr>
          <w:rFonts w:ascii="Times New Roman" w:eastAsia="Times New Roman" w:hAnsi="Times New Roman"/>
        </w:rPr>
        <w:t xml:space="preserve">) case. Condensation energies </w:t>
      </w:r>
      <w:r w:rsidRPr="00C141E2">
        <w:rPr>
          <w:position w:val="-10"/>
        </w:rPr>
        <w:object w:dxaOrig="279" w:dyaOrig="320">
          <v:shape id="_x0000_i1047" type="#_x0000_t75" style="width:13.6pt;height:16.4pt" o:ole="">
            <v:imagedata r:id="rId51" o:title=""/>
          </v:shape>
          <o:OLEObject Type="Embed" ProgID="Equation.DSMT4" ShapeID="_x0000_i1047" DrawAspect="Content" ObjectID="_1790255060" r:id="rId52"/>
        </w:object>
      </w:r>
      <w:r w:rsidRPr="00F2197B">
        <w:rPr>
          <w:rFonts w:ascii="Times New Roman" w:eastAsia="Times New Roman" w:hAnsi="Times New Roman"/>
        </w:rPr>
        <w:t xml:space="preserve"> and superfluid-normal phase transition energies </w:t>
      </w:r>
      <w:r w:rsidRPr="00C141E2">
        <w:rPr>
          <w:position w:val="-10"/>
        </w:rPr>
        <w:object w:dxaOrig="300" w:dyaOrig="320">
          <v:shape id="_x0000_i1048" type="#_x0000_t75" style="width:15.2pt;height:16.4pt" o:ole="">
            <v:imagedata r:id="rId53" o:title=""/>
          </v:shape>
          <o:OLEObject Type="Embed" ProgID="Equation.DSMT4" ShapeID="_x0000_i1048" DrawAspect="Content" ObjectID="_1790255061" r:id="rId54"/>
        </w:object>
      </w:r>
      <w:r w:rsidRPr="00F2197B">
        <w:rPr>
          <w:rFonts w:ascii="Times New Roman" w:eastAsia="Times New Roman" w:hAnsi="Times New Roman"/>
        </w:rPr>
        <w:t xml:space="preserve"> are marked by black and red arrows, respectively. The range between arrows for calcium, </w:t>
      </w:r>
      <w:r w:rsidRPr="00F2197B">
        <w:rPr>
          <w:rFonts w:ascii="Times New Roman" w:eastAsia="Times New Roman" w:hAnsi="Times New Roman"/>
          <w:vertAlign w:val="superscript"/>
        </w:rPr>
        <w:t>40</w:t>
      </w:r>
      <w:r w:rsidRPr="00F2197B">
        <w:rPr>
          <w:rFonts w:ascii="Times New Roman" w:eastAsia="Times New Roman" w:hAnsi="Times New Roman"/>
        </w:rPr>
        <w:t xml:space="preserve">Ca, overlaps whole excitation energies while for the nickel, </w:t>
      </w:r>
      <w:r w:rsidRPr="00F2197B">
        <w:rPr>
          <w:rFonts w:ascii="Times New Roman" w:eastAsia="Times New Roman" w:hAnsi="Times New Roman"/>
          <w:vertAlign w:val="superscript"/>
        </w:rPr>
        <w:t>56</w:t>
      </w:r>
      <w:r w:rsidRPr="00F2197B">
        <w:rPr>
          <w:rFonts w:ascii="Times New Roman" w:eastAsia="Times New Roman" w:hAnsi="Times New Roman"/>
        </w:rPr>
        <w:t xml:space="preserve">Ni, there is no such overlap. Therefore, we may predict that the pairing effects are easier to detect in </w:t>
      </w:r>
      <w:r w:rsidRPr="00F2197B">
        <w:rPr>
          <w:rFonts w:ascii="Times New Roman" w:eastAsia="Times New Roman" w:hAnsi="Times New Roman"/>
          <w:vertAlign w:val="superscript"/>
        </w:rPr>
        <w:t>40</w:t>
      </w:r>
      <w:r w:rsidRPr="00F2197B">
        <w:rPr>
          <w:rFonts w:ascii="Times New Roman" w:eastAsia="Times New Roman" w:hAnsi="Times New Roman"/>
        </w:rPr>
        <w:t xml:space="preserve">Ca than in </w:t>
      </w:r>
      <w:r w:rsidRPr="00F2197B">
        <w:rPr>
          <w:rFonts w:ascii="Times New Roman" w:eastAsia="Times New Roman" w:hAnsi="Times New Roman"/>
          <w:vertAlign w:val="superscript"/>
        </w:rPr>
        <w:t>56</w:t>
      </w:r>
      <w:r w:rsidRPr="00F2197B">
        <w:rPr>
          <w:rFonts w:ascii="Times New Roman" w:eastAsia="Times New Roman" w:hAnsi="Times New Roman"/>
        </w:rPr>
        <w:t xml:space="preserve">Ni. In contrast to these close-shell results, one has an intermediate situation for semi-magic </w:t>
      </w:r>
      <w:r w:rsidRPr="00F2197B">
        <w:rPr>
          <w:rFonts w:ascii="Times New Roman" w:eastAsia="Times New Roman" w:hAnsi="Times New Roman"/>
          <w:vertAlign w:val="superscript"/>
        </w:rPr>
        <w:t>54</w:t>
      </w:r>
      <w:r w:rsidRPr="00F2197B">
        <w:rPr>
          <w:rFonts w:ascii="Times New Roman" w:eastAsia="Times New Roman" w:hAnsi="Times New Roman"/>
        </w:rPr>
        <w:t>Fe (</w:t>
      </w:r>
      <w:r w:rsidRPr="00F2197B">
        <w:rPr>
          <w:rFonts w:ascii="Times New Roman" w:eastAsia="Times New Roman" w:hAnsi="Times New Roman"/>
          <w:i/>
          <w:iCs/>
        </w:rPr>
        <w:t>c</w:t>
      </w:r>
      <w:r w:rsidRPr="00F2197B">
        <w:rPr>
          <w:rFonts w:ascii="Times New Roman" w:eastAsia="Times New Roman" w:hAnsi="Times New Roman"/>
        </w:rPr>
        <w:t xml:space="preserve">) and open-shell </w:t>
      </w:r>
      <w:r w:rsidRPr="00F2197B">
        <w:rPr>
          <w:rFonts w:ascii="Times New Roman" w:eastAsia="Times New Roman" w:hAnsi="Times New Roman"/>
          <w:vertAlign w:val="superscript"/>
        </w:rPr>
        <w:t>52</w:t>
      </w:r>
      <w:r w:rsidRPr="00F2197B">
        <w:rPr>
          <w:rFonts w:ascii="Times New Roman" w:eastAsia="Times New Roman" w:hAnsi="Times New Roman"/>
        </w:rPr>
        <w:t>Fe (</w:t>
      </w:r>
      <w:r w:rsidRPr="00F2197B">
        <w:rPr>
          <w:rFonts w:ascii="Times New Roman" w:eastAsia="Times New Roman" w:hAnsi="Times New Roman"/>
          <w:i/>
          <w:iCs/>
        </w:rPr>
        <w:t>d</w:t>
      </w:r>
      <w:r w:rsidRPr="00F2197B">
        <w:rPr>
          <w:rFonts w:ascii="Times New Roman" w:eastAsia="Times New Roman" w:hAnsi="Times New Roman"/>
        </w:rPr>
        <w:t>) nuclei.</w:t>
      </w:r>
    </w:p>
    <w:p w:rsidR="00E21E91" w:rsidRPr="00F2197B" w:rsidRDefault="00E21E91" w:rsidP="00E21E9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</w:rPr>
      </w:pPr>
      <w:r w:rsidRPr="00F2197B">
        <w:rPr>
          <w:rFonts w:ascii="Times New Roman" w:eastAsia="Times New Roman" w:hAnsi="Times New Roman"/>
        </w:rPr>
        <w:t xml:space="preserve">The largest pairing effect is clearly seen in </w:t>
      </w:r>
      <w:r w:rsidRPr="00F2197B">
        <w:rPr>
          <w:rFonts w:ascii="Times New Roman" w:eastAsia="Times New Roman" w:hAnsi="Times New Roman"/>
          <w:vertAlign w:val="superscript"/>
        </w:rPr>
        <w:t>40</w:t>
      </w:r>
      <w:r w:rsidRPr="00F2197B">
        <w:rPr>
          <w:rFonts w:ascii="Times New Roman" w:eastAsia="Times New Roman" w:hAnsi="Times New Roman"/>
        </w:rPr>
        <w:t>Ca (</w:t>
      </w:r>
      <w:r w:rsidRPr="00F2197B">
        <w:rPr>
          <w:rFonts w:ascii="Times New Roman" w:eastAsia="Times New Roman" w:hAnsi="Times New Roman"/>
          <w:i/>
          <w:iCs/>
        </w:rPr>
        <w:t>a</w:t>
      </w:r>
      <w:r w:rsidRPr="00F2197B">
        <w:rPr>
          <w:rFonts w:ascii="Times New Roman" w:eastAsia="Times New Roman" w:hAnsi="Times New Roman"/>
        </w:rPr>
        <w:t xml:space="preserve">) and there is no such effect for </w:t>
      </w:r>
      <w:r w:rsidRPr="00F2197B">
        <w:rPr>
          <w:rFonts w:ascii="Times New Roman" w:eastAsia="Times New Roman" w:hAnsi="Times New Roman"/>
          <w:vertAlign w:val="superscript"/>
        </w:rPr>
        <w:t>56</w:t>
      </w:r>
      <w:r w:rsidRPr="00F2197B">
        <w:rPr>
          <w:rFonts w:ascii="Times New Roman" w:eastAsia="Times New Roman" w:hAnsi="Times New Roman"/>
        </w:rPr>
        <w:t xml:space="preserve">Ni, though both are closed-shell magic nuclei. In contrast to another opinion, we think that we cannot use these properties (close/open shell arguments) for evaluation of the pairing contributions. Concerning the difference between two symmetric magic </w:t>
      </w:r>
      <w:r w:rsidRPr="00F2197B">
        <w:rPr>
          <w:rFonts w:ascii="Times New Roman" w:eastAsia="Times New Roman" w:hAnsi="Times New Roman"/>
          <w:vertAlign w:val="superscript"/>
        </w:rPr>
        <w:t>56</w:t>
      </w:r>
      <w:r w:rsidRPr="00F2197B">
        <w:rPr>
          <w:rFonts w:ascii="Times New Roman" w:eastAsia="Times New Roman" w:hAnsi="Times New Roman"/>
        </w:rPr>
        <w:t xml:space="preserve">Ni and open-shell </w:t>
      </w:r>
      <w:r w:rsidRPr="00F2197B">
        <w:rPr>
          <w:rFonts w:ascii="Times New Roman" w:eastAsia="Times New Roman" w:hAnsi="Times New Roman"/>
          <w:vertAlign w:val="superscript"/>
        </w:rPr>
        <w:t>52</w:t>
      </w:r>
      <w:r w:rsidRPr="00F2197B">
        <w:rPr>
          <w:rFonts w:ascii="Times New Roman" w:eastAsia="Times New Roman" w:hAnsi="Times New Roman"/>
        </w:rPr>
        <w:t xml:space="preserve">Fe nuclei, one can find qualitative agreement with the experimental results obtained in Ref. [3] though our theoretical arguments are somewhat different from those used in Ref. [3]. Note also that the values of the inverse level density parameter </w:t>
      </w:r>
      <w:r w:rsidRPr="00C141E2">
        <w:rPr>
          <w:position w:val="-6"/>
        </w:rPr>
        <w:object w:dxaOrig="740" w:dyaOrig="260">
          <v:shape id="_x0000_i1049" type="#_x0000_t75" style="width:37.2pt;height:13.2pt" o:ole="">
            <v:imagedata r:id="rId55" o:title=""/>
          </v:shape>
          <o:OLEObject Type="Embed" ProgID="Equation.DSMT4" ShapeID="_x0000_i1049" DrawAspect="Content" ObjectID="_1790255062" r:id="rId56"/>
        </w:object>
      </w:r>
      <w:r w:rsidRPr="00F2197B">
        <w:rPr>
          <w:rFonts w:ascii="Times New Roman" w:eastAsia="Times New Roman" w:hAnsi="Times New Roman"/>
        </w:rPr>
        <w:t> (</w:t>
      </w:r>
      <w:r w:rsidRPr="00F2197B">
        <w:rPr>
          <w:rFonts w:ascii="Times New Roman" w:eastAsia="Times New Roman" w:hAnsi="Times New Roman"/>
          <w:i/>
          <w:iCs/>
        </w:rPr>
        <w:t>a</w:t>
      </w:r>
      <w:r w:rsidRPr="00F2197B">
        <w:rPr>
          <w:rFonts w:ascii="Times New Roman" w:eastAsia="Times New Roman" w:hAnsi="Times New Roman"/>
        </w:rPr>
        <w:t>), 27.3 (</w:t>
      </w:r>
      <w:r w:rsidRPr="00F2197B">
        <w:rPr>
          <w:rFonts w:ascii="Times New Roman" w:eastAsia="Times New Roman" w:hAnsi="Times New Roman"/>
          <w:i/>
          <w:iCs/>
        </w:rPr>
        <w:t>b</w:t>
      </w:r>
      <w:r w:rsidRPr="00F2197B">
        <w:rPr>
          <w:rFonts w:ascii="Times New Roman" w:eastAsia="Times New Roman" w:hAnsi="Times New Roman"/>
        </w:rPr>
        <w:t>), 17.9 (</w:t>
      </w:r>
      <w:r w:rsidRPr="00F2197B">
        <w:rPr>
          <w:rFonts w:ascii="Times New Roman" w:eastAsia="Times New Roman" w:hAnsi="Times New Roman"/>
          <w:i/>
          <w:iCs/>
        </w:rPr>
        <w:t>c</w:t>
      </w:r>
      <w:r w:rsidRPr="00F2197B">
        <w:rPr>
          <w:rFonts w:ascii="Times New Roman" w:eastAsia="Times New Roman" w:hAnsi="Times New Roman"/>
        </w:rPr>
        <w:t>), and 17.7 (</w:t>
      </w:r>
      <w:r w:rsidRPr="00F2197B">
        <w:rPr>
          <w:rFonts w:ascii="Times New Roman" w:eastAsia="Times New Roman" w:hAnsi="Times New Roman"/>
          <w:i/>
          <w:iCs/>
        </w:rPr>
        <w:t>d</w:t>
      </w:r>
      <w:r w:rsidRPr="00F2197B">
        <w:rPr>
          <w:rFonts w:ascii="Times New Roman" w:eastAsia="Times New Roman" w:hAnsi="Times New Roman"/>
        </w:rPr>
        <w:t>) MeV, respectively, are found to be essentially different from those deduced from neutron resonances, mainly due to major shell and pairing effects.</w:t>
      </w:r>
    </w:p>
    <w:p w:rsidR="00E21E91" w:rsidRPr="00F2197B" w:rsidRDefault="00E21E91" w:rsidP="00E21E91">
      <w:pPr>
        <w:widowControl w:val="0"/>
        <w:spacing w:after="0" w:line="240" w:lineRule="auto"/>
        <w:jc w:val="center"/>
        <w:rPr>
          <w:rFonts w:ascii="Times New Roman" w:eastAsia="Times New Roman" w:hAnsi="Times New Roman"/>
        </w:rPr>
      </w:pPr>
      <w:r w:rsidRPr="00F2197B">
        <w:rPr>
          <w:rFonts w:ascii="Times New Roman" w:eastAsia="Times New Roman" w:hAnsi="Times New Roman"/>
          <w:noProof/>
          <w:lang w:val="ru-RU" w:eastAsia="ru-RU"/>
        </w:rPr>
        <w:drawing>
          <wp:inline distT="0" distB="0" distL="0" distR="0">
            <wp:extent cx="3901440" cy="28879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E91" w:rsidRPr="00F2197B" w:rsidRDefault="00E21E91" w:rsidP="00E21E91">
      <w:pPr>
        <w:widowControl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F2197B">
        <w:rPr>
          <w:rFonts w:ascii="Times New Roman" w:eastAsia="Times New Roman" w:hAnsi="Times New Roman"/>
        </w:rPr>
        <w:t xml:space="preserve">Level density (in logarithms) as a function of excitation energy </w:t>
      </w:r>
      <m:oMath>
        <m:r>
          <w:rPr>
            <w:rFonts w:ascii="Cambria Math" w:eastAsia="Times New Roman" w:hAnsi="Cambria Math"/>
          </w:rPr>
          <m:t>U</m:t>
        </m:r>
      </m:oMath>
      <w:r w:rsidRPr="00F2197B">
        <w:rPr>
          <w:rFonts w:ascii="Times New Roman" w:eastAsia="Times New Roman" w:hAnsi="Times New Roman"/>
        </w:rPr>
        <w:t xml:space="preserve"> for low energy states in the magic (close-shell) </w:t>
      </w:r>
      <w:r w:rsidRPr="00F2197B">
        <w:rPr>
          <w:rFonts w:ascii="Times New Roman" w:eastAsia="Times New Roman" w:hAnsi="Times New Roman"/>
          <w:vertAlign w:val="superscript"/>
        </w:rPr>
        <w:t>40</w:t>
      </w:r>
      <w:r w:rsidRPr="00F2197B">
        <w:rPr>
          <w:rFonts w:ascii="Times New Roman" w:eastAsia="Times New Roman" w:hAnsi="Times New Roman"/>
        </w:rPr>
        <w:t>Ca (</w:t>
      </w:r>
      <w:r w:rsidRPr="00F2197B">
        <w:rPr>
          <w:rFonts w:ascii="Times New Roman" w:eastAsia="Times New Roman" w:hAnsi="Times New Roman"/>
          <w:i/>
          <w:iCs/>
        </w:rPr>
        <w:t>a</w:t>
      </w:r>
      <w:r w:rsidRPr="00F2197B">
        <w:rPr>
          <w:rFonts w:ascii="Times New Roman" w:eastAsia="Times New Roman" w:hAnsi="Times New Roman"/>
        </w:rPr>
        <w:t xml:space="preserve">) and </w:t>
      </w:r>
      <w:r w:rsidRPr="00F2197B">
        <w:rPr>
          <w:rFonts w:ascii="Times New Roman" w:eastAsia="Times New Roman" w:hAnsi="Times New Roman"/>
          <w:vertAlign w:val="superscript"/>
        </w:rPr>
        <w:t>56</w:t>
      </w:r>
      <w:r w:rsidRPr="00F2197B">
        <w:rPr>
          <w:rFonts w:ascii="Times New Roman" w:eastAsia="Times New Roman" w:hAnsi="Times New Roman"/>
        </w:rPr>
        <w:t>Ni (</w:t>
      </w:r>
      <w:r w:rsidRPr="00F2197B">
        <w:rPr>
          <w:rFonts w:ascii="Times New Roman" w:eastAsia="Times New Roman" w:hAnsi="Times New Roman"/>
          <w:i/>
          <w:iCs/>
        </w:rPr>
        <w:t>b</w:t>
      </w:r>
      <w:r w:rsidRPr="00F2197B">
        <w:rPr>
          <w:rFonts w:ascii="Times New Roman" w:eastAsia="Times New Roman" w:hAnsi="Times New Roman"/>
        </w:rPr>
        <w:t xml:space="preserve">), semi-magic </w:t>
      </w:r>
      <w:r w:rsidRPr="00F2197B">
        <w:rPr>
          <w:rFonts w:ascii="Times New Roman" w:eastAsia="Times New Roman" w:hAnsi="Times New Roman"/>
          <w:vertAlign w:val="superscript"/>
        </w:rPr>
        <w:t>54</w:t>
      </w:r>
      <w:r w:rsidRPr="00F2197B">
        <w:rPr>
          <w:rFonts w:ascii="Times New Roman" w:eastAsia="Times New Roman" w:hAnsi="Times New Roman"/>
        </w:rPr>
        <w:t>Fe (</w:t>
      </w:r>
      <w:r w:rsidRPr="00F2197B">
        <w:rPr>
          <w:rFonts w:ascii="Times New Roman" w:eastAsia="Times New Roman" w:hAnsi="Times New Roman"/>
          <w:i/>
          <w:iCs/>
        </w:rPr>
        <w:t>c</w:t>
      </w:r>
      <w:r w:rsidRPr="00F2197B">
        <w:rPr>
          <w:rFonts w:ascii="Times New Roman" w:eastAsia="Times New Roman" w:hAnsi="Times New Roman"/>
        </w:rPr>
        <w:t xml:space="preserve">), and non-magic (open-shell) </w:t>
      </w:r>
      <w:r w:rsidRPr="00F2197B">
        <w:rPr>
          <w:rFonts w:ascii="Times New Roman" w:eastAsia="Times New Roman" w:hAnsi="Times New Roman"/>
          <w:vertAlign w:val="superscript"/>
        </w:rPr>
        <w:t>52</w:t>
      </w:r>
      <w:r w:rsidRPr="00F2197B">
        <w:rPr>
          <w:rFonts w:ascii="Times New Roman" w:eastAsia="Times New Roman" w:hAnsi="Times New Roman"/>
        </w:rPr>
        <w:t>Fe (</w:t>
      </w:r>
      <w:r w:rsidRPr="00F2197B">
        <w:rPr>
          <w:rFonts w:ascii="Times New Roman" w:eastAsia="Times New Roman" w:hAnsi="Times New Roman"/>
          <w:i/>
          <w:iCs/>
        </w:rPr>
        <w:t>d</w:t>
      </w:r>
      <w:r w:rsidRPr="00F2197B">
        <w:rPr>
          <w:rFonts w:ascii="Times New Roman" w:eastAsia="Times New Roman" w:hAnsi="Times New Roman"/>
        </w:rPr>
        <w:t xml:space="preserve">) nuclei. Solid lines show the MMA approach for minimal values of LMS errors </w:t>
      </w:r>
      <w:r w:rsidRPr="00F2197B">
        <w:rPr>
          <w:rFonts w:ascii="Times New Roman" w:eastAsia="Times New Roman" w:hAnsi="Times New Roman"/>
        </w:rPr>
        <w:sym w:font="Symbol" w:char="F073"/>
      </w:r>
      <w:r w:rsidRPr="00F2197B">
        <w:rPr>
          <w:rFonts w:ascii="Times New Roman" w:eastAsia="Times New Roman" w:hAnsi="Times New Roman"/>
        </w:rPr>
        <w:t xml:space="preserve"> with pairing condensation being neglected. Dashed lines are the same but taking into account the pairing effect through the found condensation energy </w:t>
      </w:r>
      <w:r w:rsidRPr="00C141E2">
        <w:rPr>
          <w:position w:val="-10"/>
        </w:rPr>
        <w:object w:dxaOrig="279" w:dyaOrig="320">
          <v:shape id="_x0000_i1050" type="#_x0000_t75" style="width:13.6pt;height:16.4pt" o:ole="">
            <v:imagedata r:id="rId58" o:title=""/>
          </v:shape>
          <o:OLEObject Type="Embed" ProgID="Equation.DSMT4" ShapeID="_x0000_i1050" DrawAspect="Content" ObjectID="_1790255063" r:id="rId59"/>
        </w:object>
      </w:r>
      <w:r w:rsidRPr="00F2197B">
        <w:rPr>
          <w:rFonts w:ascii="Times New Roman" w:eastAsia="Times New Roman" w:hAnsi="Times New Roman"/>
        </w:rPr>
        <w:t>. Blue dotted lines present the results of the Fermi gas approach. Experimental close circles are obtained from the ENSDF excitation energy data.</w:t>
      </w:r>
    </w:p>
    <w:p w:rsidR="00E21E91" w:rsidRPr="00F2197B" w:rsidRDefault="00E21E91" w:rsidP="00E21E9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</w:rPr>
      </w:pPr>
    </w:p>
    <w:p w:rsidR="00E21E91" w:rsidRPr="00F2197B" w:rsidRDefault="00E21E91" w:rsidP="00E21E9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</w:rPr>
      </w:pPr>
      <w:r w:rsidRPr="00F2197B">
        <w:rPr>
          <w:rFonts w:ascii="Times New Roman" w:eastAsia="Times New Roman" w:hAnsi="Times New Roman"/>
        </w:rPr>
        <w:t>As perspectives, we will continue our study, within the MMA, of the effects of nuclear rotations, pairing, and collective dynamics within statistical level density.</w:t>
      </w:r>
    </w:p>
    <w:p w:rsidR="00E21E91" w:rsidRPr="00F2197B" w:rsidRDefault="00E21E91" w:rsidP="00E21E9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</w:rPr>
      </w:pPr>
    </w:p>
    <w:p w:rsidR="00E21E91" w:rsidRPr="00C141E2" w:rsidRDefault="00E21E91" w:rsidP="00E21E91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C141E2">
        <w:rPr>
          <w:rFonts w:ascii="Times New Roman" w:hAnsi="Times New Roman"/>
          <w:lang w:val="fr-FR"/>
        </w:rPr>
        <w:t xml:space="preserve">A.G. Magner et al. arxiv:2308.07784. </w:t>
      </w:r>
      <w:r w:rsidRPr="00C141E2">
        <w:rPr>
          <w:rFonts w:ascii="Times New Roman" w:hAnsi="Times New Roman"/>
        </w:rPr>
        <w:t>Submitted to Eur. J. Phys. A 2023.</w:t>
      </w:r>
    </w:p>
    <w:p w:rsidR="00E21E91" w:rsidRPr="00C141E2" w:rsidRDefault="00E21E91" w:rsidP="00E21E91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C141E2">
        <w:rPr>
          <w:rFonts w:ascii="Times New Roman" w:hAnsi="Times New Roman"/>
        </w:rPr>
        <w:t>P. </w:t>
      </w:r>
      <w:proofErr w:type="spellStart"/>
      <w:r w:rsidRPr="00C141E2">
        <w:rPr>
          <w:rFonts w:ascii="Times New Roman" w:hAnsi="Times New Roman"/>
        </w:rPr>
        <w:t>Möller</w:t>
      </w:r>
      <w:proofErr w:type="spellEnd"/>
      <w:r w:rsidRPr="00C141E2">
        <w:rPr>
          <w:rFonts w:ascii="Times New Roman" w:hAnsi="Times New Roman"/>
        </w:rPr>
        <w:t xml:space="preserve"> et al. Atomic Data and Nuclear Data Tables 109-110 (2016) 1.</w:t>
      </w:r>
    </w:p>
    <w:p w:rsidR="006C61CE" w:rsidRDefault="00E21E91" w:rsidP="00E21E91">
      <w:pPr>
        <w:rPr>
          <w:rFonts w:ascii="Times New Roman" w:hAnsi="Times New Roman"/>
          <w:lang w:val="fr-FR"/>
        </w:rPr>
      </w:pPr>
      <w:r w:rsidRPr="00C141E2">
        <w:rPr>
          <w:rFonts w:ascii="Times New Roman" w:hAnsi="Times New Roman"/>
          <w:lang w:val="fr-FR"/>
        </w:rPr>
        <w:t>B. Le Crom et al. Phys. Lett. B 829 (2022) 1</w:t>
      </w:r>
    </w:p>
    <w:p w:rsidR="006D24C8" w:rsidRDefault="006D24C8" w:rsidP="00E21E91">
      <w:pPr>
        <w:rPr>
          <w:rFonts w:ascii="Times New Roman" w:hAnsi="Times New Roman"/>
          <w:lang w:val="fr-FR"/>
        </w:rPr>
      </w:pPr>
    </w:p>
    <w:p w:rsidR="006D24C8" w:rsidRDefault="006D24C8" w:rsidP="00E21E91">
      <w:r>
        <w:rPr>
          <w:rFonts w:ascii="Times New Roman" w:hAnsi="Times New Roman"/>
          <w:lang w:val="fr-FR"/>
        </w:rPr>
        <w:t>(The form is a copy of the template for the KINR-2024 Conference)</w:t>
      </w:r>
    </w:p>
    <w:sectPr w:rsidR="006D2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Roman">
    <w:altName w:val="Times New Roman"/>
    <w:charset w:val="00"/>
    <w:family w:val="roman"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12FBA"/>
    <w:multiLevelType w:val="hybridMultilevel"/>
    <w:tmpl w:val="3EDA9716"/>
    <w:lvl w:ilvl="0" w:tplc="CDF4BFD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1B"/>
    <w:rsid w:val="000246A0"/>
    <w:rsid w:val="000C45F9"/>
    <w:rsid w:val="0067781B"/>
    <w:rsid w:val="006C61CE"/>
    <w:rsid w:val="006D24C8"/>
    <w:rsid w:val="00BA0A13"/>
    <w:rsid w:val="00E2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03A8A"/>
  <w15:chartTrackingRefBased/>
  <w15:docId w15:val="{0A43B276-1AE3-4F87-B73C-4656ED13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E9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E21E91"/>
    <w:pP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lang w:val="en-US" w:eastAsia="zh-CN"/>
    </w:rPr>
  </w:style>
  <w:style w:type="character" w:customStyle="1" w:styleId="a4">
    <w:name w:val="Нет"/>
    <w:rsid w:val="00E21E91"/>
  </w:style>
  <w:style w:type="character" w:styleId="a5">
    <w:name w:val="Hyperlink"/>
    <w:uiPriority w:val="99"/>
    <w:unhideWhenUsed/>
    <w:rsid w:val="00E21E9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21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image" Target="media/image27.wmf"/><Relationship Id="rId5" Type="http://schemas.openxmlformats.org/officeDocument/2006/relationships/hyperlink" Target="VIDEO%20CONFERENCE.docx" TargetMode="External"/><Relationship Id="rId61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hyperlink" Target="http://www.nndc.bnl.gov/ensdf" TargetMode="External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6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B969B8"/>
      </a:dk1>
      <a:lt1>
        <a:sysClr val="window" lastClr="000000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930</Words>
  <Characters>5305</Characters>
  <Application>Microsoft Office Word</Application>
  <DocSecurity>0</DocSecurity>
  <Lines>44</Lines>
  <Paragraphs>12</Paragraphs>
  <ScaleCrop>false</ScaleCrop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2024-10-10T10:29:00Z</dcterms:created>
  <dcterms:modified xsi:type="dcterms:W3CDTF">2024-10-12T13:17:00Z</dcterms:modified>
</cp:coreProperties>
</file>